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FD9FC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 w:val="0"/>
          <w:bCs/>
          <w:color w:val="000000"/>
          <w:sz w:val="36"/>
          <w:szCs w:val="36"/>
        </w:rPr>
      </w:pPr>
      <w:r>
        <w:rPr>
          <w:rFonts w:hint="default" w:ascii="Times New Roman" w:hAnsi="Times New Roman" w:eastAsia="方正小标宋简体" w:cs="Times New Roman"/>
          <w:b w:val="0"/>
          <w:bCs/>
          <w:color w:val="000000"/>
          <w:sz w:val="36"/>
          <w:szCs w:val="36"/>
        </w:rPr>
        <w:t>沈阳理工大学博士研究生</w:t>
      </w:r>
      <w:r>
        <w:rPr>
          <w:rFonts w:hint="default" w:ascii="Times New Roman" w:hAnsi="Times New Roman" w:eastAsia="方正小标宋简体" w:cs="Times New Roman"/>
          <w:b w:val="0"/>
          <w:bCs/>
          <w:color w:val="000000"/>
          <w:sz w:val="36"/>
          <w:szCs w:val="36"/>
          <w:lang w:val="en-US" w:eastAsia="zh-CN"/>
        </w:rPr>
        <w:t>招生</w:t>
      </w:r>
      <w:r>
        <w:rPr>
          <w:rFonts w:hint="default" w:ascii="Times New Roman" w:hAnsi="Times New Roman" w:eastAsia="方正小标宋简体" w:cs="Times New Roman"/>
          <w:b w:val="0"/>
          <w:bCs/>
          <w:color w:val="000000"/>
          <w:sz w:val="36"/>
          <w:szCs w:val="36"/>
        </w:rPr>
        <w:t>考试</w:t>
      </w:r>
      <w:r>
        <w:rPr>
          <w:rFonts w:hint="default" w:ascii="Times New Roman" w:hAnsi="Times New Roman" w:eastAsia="方正小标宋简体" w:cs="Times New Roman"/>
          <w:b w:val="0"/>
          <w:bCs/>
          <w:color w:val="000000"/>
          <w:sz w:val="36"/>
          <w:szCs w:val="36"/>
          <w:lang w:val="en-US" w:eastAsia="zh-CN"/>
        </w:rPr>
        <w:t>初试科目考试</w:t>
      </w:r>
      <w:r>
        <w:rPr>
          <w:rFonts w:hint="default" w:ascii="Times New Roman" w:hAnsi="Times New Roman" w:eastAsia="方正小标宋简体" w:cs="Times New Roman"/>
          <w:b w:val="0"/>
          <w:bCs/>
          <w:color w:val="000000"/>
          <w:sz w:val="36"/>
          <w:szCs w:val="36"/>
        </w:rPr>
        <w:t>大纲</w:t>
      </w:r>
    </w:p>
    <w:p w14:paraId="6D3F037D">
      <w:pPr>
        <w:keepNext w:val="0"/>
        <w:keepLines w:val="0"/>
        <w:pageBreakBefore w:val="0"/>
        <w:tabs>
          <w:tab w:val="right" w:pos="8312"/>
        </w:tabs>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科目代码：4001</w:t>
      </w:r>
      <w:r>
        <w:rPr>
          <w:rFonts w:hint="eastAsia" w:eastAsia="仿宋_GB2312" w:cs="Times New Roman"/>
          <w:b/>
          <w:sz w:val="32"/>
          <w:szCs w:val="32"/>
          <w:lang w:val="en-US" w:eastAsia="zh-CN"/>
        </w:rPr>
        <w:t xml:space="preserve">       </w:t>
      </w:r>
      <w:r>
        <w:rPr>
          <w:rFonts w:hint="eastAsia" w:ascii="仿宋_GB2312" w:hAnsi="仿宋_GB2312" w:eastAsia="仿宋_GB2312" w:cs="仿宋_GB2312"/>
          <w:b/>
          <w:sz w:val="32"/>
          <w:szCs w:val="32"/>
        </w:rPr>
        <w:t>科目名称：自然辩证法</w:t>
      </w:r>
    </w:p>
    <w:p w14:paraId="339F2879">
      <w:pPr>
        <w:keepNext w:val="0"/>
        <w:keepLines w:val="0"/>
        <w:pageBreakBefore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一、考试基本内容</w:t>
      </w:r>
    </w:p>
    <w:p w14:paraId="304F7564">
      <w:pPr>
        <w:keepNext w:val="0"/>
        <w:keepLines w:val="0"/>
        <w:pageBreakBefore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绪论</w:t>
      </w:r>
    </w:p>
    <w:p w14:paraId="73575045">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（一）自然辩证法的学科性质</w:t>
      </w:r>
    </w:p>
    <w:p w14:paraId="77AF6A30">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（二）自然辩证法的研究内容</w:t>
      </w:r>
    </w:p>
    <w:p w14:paraId="1F89AED9">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（三）自然辩证法的历史发展</w:t>
      </w:r>
    </w:p>
    <w:p w14:paraId="1C3E403A">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（四）自然辩证法的新时代意义</w:t>
      </w:r>
    </w:p>
    <w:p w14:paraId="004B2AEC">
      <w:pPr>
        <w:keepNext w:val="0"/>
        <w:keepLines w:val="0"/>
        <w:pageBreakBefore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第一章 马克思主义自然观</w:t>
      </w:r>
    </w:p>
    <w:p w14:paraId="5EBA3F81">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（一）马克思主义自然观的形成</w:t>
      </w:r>
    </w:p>
    <w:p w14:paraId="2A23124E">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1、朴素唯物主义自然观</w:t>
      </w:r>
    </w:p>
    <w:p w14:paraId="1E82056B">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2、机械唯物主义自然观</w:t>
      </w:r>
    </w:p>
    <w:p w14:paraId="7D168D7E">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3、辩证唯物主义自然观</w:t>
      </w:r>
    </w:p>
    <w:p w14:paraId="653F20BE">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（二）马克思主义自然观的发展</w:t>
      </w:r>
    </w:p>
    <w:p w14:paraId="41D81089">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1、系统自然观</w:t>
      </w:r>
    </w:p>
    <w:p w14:paraId="18FF26BF">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2、人工自然观</w:t>
      </w:r>
    </w:p>
    <w:p w14:paraId="146BB61A">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3、生态自然观</w:t>
      </w:r>
    </w:p>
    <w:p w14:paraId="0DFCD3F9">
      <w:pPr>
        <w:keepNext w:val="0"/>
        <w:keepLines w:val="0"/>
        <w:pageBreakBefore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 xml:space="preserve"> 第二章 马克思主义科学技术观</w:t>
      </w:r>
    </w:p>
    <w:p w14:paraId="375CB367">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（一）马克思、恩格斯的科学技术思想</w:t>
      </w:r>
    </w:p>
    <w:p w14:paraId="7A5B35E1">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1、马克思、恩格斯科学技术思想形成的社会条件</w:t>
      </w:r>
    </w:p>
    <w:p w14:paraId="16F9CE2C">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2、马克思、恩格斯科学技术思想的基本内容</w:t>
      </w:r>
    </w:p>
    <w:p w14:paraId="5C33B154">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（二）科学技术的本质与结构</w:t>
      </w:r>
    </w:p>
    <w:p w14:paraId="4F5AC577">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1、科学技术的本质特征</w:t>
      </w:r>
    </w:p>
    <w:p w14:paraId="139EE347">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2、科学技术的体系结构</w:t>
      </w:r>
    </w:p>
    <w:p w14:paraId="5181D10A">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（三）科学技术的发展模式及动力</w:t>
      </w:r>
    </w:p>
    <w:p w14:paraId="7C3D59F3">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1、科学的发展模式及动力</w:t>
      </w:r>
    </w:p>
    <w:p w14:paraId="1BB14652">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2、技术的发展模式及动力</w:t>
      </w:r>
    </w:p>
    <w:p w14:paraId="505A1B77">
      <w:pPr>
        <w:keepNext w:val="0"/>
        <w:keepLines w:val="0"/>
        <w:pageBreakBefore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第三章 马克思主义科学技术方法论</w:t>
      </w:r>
    </w:p>
    <w:p w14:paraId="2BDC8484">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（一）科学技术研究的辩证思维方法</w:t>
      </w:r>
    </w:p>
    <w:p w14:paraId="45D47F17">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1、问题意识与问题导向</w:t>
      </w:r>
    </w:p>
    <w:p w14:paraId="041C659C">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2、分析和综合</w:t>
      </w:r>
    </w:p>
    <w:p w14:paraId="5072B364">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3、归纳和演绎</w:t>
      </w:r>
    </w:p>
    <w:p w14:paraId="5B58D320">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4、从抽象到具体</w:t>
      </w:r>
    </w:p>
    <w:p w14:paraId="79A85D9F">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5、历史和逻辑的统一</w:t>
      </w:r>
    </w:p>
    <w:p w14:paraId="4B1C8549">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（二）科学技术研究的创新思维方法</w:t>
      </w:r>
    </w:p>
    <w:p w14:paraId="20322A59">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1、思维的收敛性与发散性</w:t>
      </w:r>
    </w:p>
    <w:p w14:paraId="3F8F503B">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2、思维的逻辑性与非逻辑性</w:t>
      </w:r>
    </w:p>
    <w:p w14:paraId="7805AE3D">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3、移植、交叉与跨学科研究方法</w:t>
      </w:r>
    </w:p>
    <w:p w14:paraId="0CFA4CF4">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（三）科学技术研究的数学与系统思维方法</w:t>
      </w:r>
    </w:p>
    <w:p w14:paraId="7966EA9A">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1、数学方法及其作用</w:t>
      </w:r>
    </w:p>
    <w:p w14:paraId="7C431E76">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2、系统方法及其作用</w:t>
      </w:r>
    </w:p>
    <w:p w14:paraId="35F49346">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3、复杂性思维及其方法</w:t>
      </w:r>
    </w:p>
    <w:p w14:paraId="02C2A865">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（四）科学技术活动的方法</w:t>
      </w:r>
    </w:p>
    <w:p w14:paraId="00C2D481">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1、科学实践的方法</w:t>
      </w:r>
    </w:p>
    <w:p w14:paraId="4DF65A74">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2、技术活动的方法</w:t>
      </w:r>
    </w:p>
    <w:p w14:paraId="2B2A9A9C">
      <w:pPr>
        <w:keepNext w:val="0"/>
        <w:keepLines w:val="0"/>
        <w:pageBreakBefore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第四章 马克思主义科学技术社会论</w:t>
      </w:r>
    </w:p>
    <w:p w14:paraId="1C7A0B3F">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（一）科学技术的社会功能</w:t>
      </w:r>
    </w:p>
    <w:p w14:paraId="110E28B0">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1、科学技术与经济转型</w:t>
      </w:r>
    </w:p>
    <w:p w14:paraId="673B8F46">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2、科学技术与社会变迁</w:t>
      </w:r>
    </w:p>
    <w:p w14:paraId="317AA914">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3、科学技术与人类解放</w:t>
      </w:r>
    </w:p>
    <w:p w14:paraId="0D7EDC55">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4、科学技术的异化及其反思</w:t>
      </w:r>
    </w:p>
    <w:p w14:paraId="56D766D8">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（二）科学技术的社会运行</w:t>
      </w:r>
    </w:p>
    <w:p w14:paraId="20914EA1">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1、科学技术的社会建制</w:t>
      </w:r>
    </w:p>
    <w:p w14:paraId="01822805">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2、科学技术的社会支撑</w:t>
      </w:r>
    </w:p>
    <w:p w14:paraId="7945FDC3">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3、科学技术的社会规范</w:t>
      </w:r>
    </w:p>
    <w:p w14:paraId="6355EBC4">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（三）科学技术的社会治理</w:t>
      </w:r>
    </w:p>
    <w:p w14:paraId="72429EB5">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1、大力发展有关国计民生的科学技术</w:t>
      </w:r>
    </w:p>
    <w:p w14:paraId="00CF842A">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2、以人文文化引导科学技术文化</w:t>
      </w:r>
    </w:p>
    <w:p w14:paraId="340DDCDB">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3、建构有利于环境保护的科学技术</w:t>
      </w:r>
    </w:p>
    <w:p w14:paraId="12DE8DBC">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4、科学技术的风险评价与决策</w:t>
      </w:r>
    </w:p>
    <w:p w14:paraId="7EF031E8">
      <w:pPr>
        <w:keepNext w:val="0"/>
        <w:keepLines w:val="0"/>
        <w:pageBreakBefore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第五章 中国马克思主义科学技术观</w:t>
      </w:r>
    </w:p>
    <w:p w14:paraId="5FB79A36">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（一）毛泽东思想中的科学技术观</w:t>
      </w:r>
    </w:p>
    <w:p w14:paraId="21A3F4B1">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1、科学技术创新观</w:t>
      </w:r>
    </w:p>
    <w:p w14:paraId="29EEF36F">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2、科学技术人才观</w:t>
      </w:r>
    </w:p>
    <w:p w14:paraId="4EFDA797">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3、科学技术发展观</w:t>
      </w:r>
    </w:p>
    <w:p w14:paraId="1D469317">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（二）邓小平理论、“三个代表”重要思想、科学发展观中的科学技术观</w:t>
      </w:r>
    </w:p>
    <w:p w14:paraId="378590E1">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1、科学技术创新观</w:t>
      </w:r>
    </w:p>
    <w:p w14:paraId="1A13D212">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2、科学技术人才观</w:t>
      </w:r>
    </w:p>
    <w:p w14:paraId="056EB736">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3、科学技术发展观</w:t>
      </w:r>
    </w:p>
    <w:p w14:paraId="13136985">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（三）习近平新时代中国特色社会主义思想中的科学技术观</w:t>
      </w:r>
    </w:p>
    <w:p w14:paraId="6AC3DF24">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1、科学技术创新观</w:t>
      </w:r>
    </w:p>
    <w:p w14:paraId="77546162">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2、科学技术人才观</w:t>
      </w:r>
    </w:p>
    <w:p w14:paraId="45C989C3">
      <w:pPr>
        <w:keepNext w:val="0"/>
        <w:keepLines w:val="0"/>
        <w:pageBreakBefore w:val="0"/>
        <w:kinsoku/>
        <w:wordWrap/>
        <w:overflowPunct/>
        <w:topLinePunct w:val="0"/>
        <w:autoSpaceDE/>
        <w:autoSpaceDN/>
        <w:bidi w:val="0"/>
        <w:adjustRightInd/>
        <w:snapToGrid/>
        <w:spacing w:line="600" w:lineRule="exact"/>
        <w:ind w:left="420" w:leftChars="20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3、科学技术发展观</w:t>
      </w:r>
    </w:p>
    <w:p w14:paraId="47B31F51">
      <w:pPr>
        <w:keepNext w:val="0"/>
        <w:keepLines w:val="0"/>
        <w:pageBreakBefore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二、考试纲要</w:t>
      </w:r>
    </w:p>
    <w:p w14:paraId="3DC53CE5">
      <w:pPr>
        <w:pStyle w:val="4"/>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要求学生较系统地掌握马克思主义自然观和科学技术观，正确认识马克思主义科学技术方法论在科研和工程技术活动中的作用。正确认识科学技术与社会之间的关系以及科学技术治理的必要性。掌握中国马克思主义科学技术观的历史演进过程以及每一阶段的特点。</w:t>
      </w:r>
    </w:p>
    <w:p w14:paraId="52BDE832">
      <w:pPr>
        <w:keepNext w:val="0"/>
        <w:keepLines w:val="0"/>
        <w:pageBreakBefore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三、题型</w:t>
      </w:r>
    </w:p>
    <w:p w14:paraId="5A81992F">
      <w:pPr>
        <w:pStyle w:val="4"/>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考试题型共有二种，试题满分为100分。各题型分值比例如下：</w:t>
      </w:r>
    </w:p>
    <w:p w14:paraId="38DE83CE">
      <w:pPr>
        <w:pStyle w:val="4"/>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（一）简答题（共8题，每题10分，满分80分）</w:t>
      </w:r>
    </w:p>
    <w:p w14:paraId="4B73469C">
      <w:pPr>
        <w:pStyle w:val="4"/>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（二）论述题（共1题，满分20分）</w:t>
      </w:r>
    </w:p>
    <w:p w14:paraId="1388D945">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四、主要参考书目</w:t>
      </w:r>
    </w:p>
    <w:p w14:paraId="22BC4B63">
      <w:pPr>
        <w:pStyle w:val="4"/>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rPr>
        <w:t>1.</w:t>
      </w:r>
      <w:r>
        <w:rPr>
          <w:rFonts w:hint="default" w:ascii="仿宋_GB2312" w:hAnsi="仿宋_GB2312" w:eastAsia="仿宋_GB2312" w:cs="仿宋_GB2312"/>
          <w:sz w:val="32"/>
          <w:szCs w:val="32"/>
          <w:lang w:eastAsia="zh-CN"/>
        </w:rPr>
        <w:t>《</w:t>
      </w:r>
      <w:r>
        <w:rPr>
          <w:rFonts w:hint="default" w:ascii="仿宋_GB2312" w:hAnsi="仿宋_GB2312" w:eastAsia="仿宋_GB2312" w:cs="仿宋_GB2312"/>
          <w:sz w:val="32"/>
          <w:szCs w:val="32"/>
        </w:rPr>
        <w:t>自然辩证法概论</w:t>
      </w:r>
      <w:r>
        <w:rPr>
          <w:rFonts w:hint="default" w:ascii="仿宋_GB2312" w:hAnsi="仿宋_GB2312" w:eastAsia="仿宋_GB2312" w:cs="仿宋_GB2312"/>
          <w:sz w:val="32"/>
          <w:szCs w:val="32"/>
          <w:lang w:eastAsia="zh-CN"/>
        </w:rPr>
        <w:t>》</w:t>
      </w:r>
      <w:r>
        <w:rPr>
          <w:rFonts w:hint="default" w:ascii="仿宋_GB2312" w:hAnsi="仿宋_GB2312" w:eastAsia="仿宋_GB2312" w:cs="仿宋_GB2312"/>
          <w:sz w:val="32"/>
          <w:szCs w:val="32"/>
        </w:rPr>
        <w:t>（修订版），殷杰、郭贵春，高等教育出版社，2021年</w:t>
      </w:r>
      <w:bookmarkStart w:id="0" w:name="_GoBack"/>
      <w:bookmarkEnd w:id="0"/>
    </w:p>
    <w:sectPr>
      <w:headerReference r:id="rId3" w:type="default"/>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12F3EA40-3E9D-49FA-BB1E-44DC3BC49C06}"/>
  </w:font>
  <w:font w:name="仿宋_GB2312">
    <w:panose1 w:val="02010609030101010101"/>
    <w:charset w:val="86"/>
    <w:family w:val="auto"/>
    <w:pitch w:val="default"/>
    <w:sig w:usb0="00000001" w:usb1="080E0000" w:usb2="00000000" w:usb3="00000000" w:csb0="00040000" w:csb1="00000000"/>
    <w:embedRegular r:id="rId2" w:fontKey="{8099E8D5-E644-415D-8848-EE401868B6DC}"/>
  </w:font>
  <w:font w:name="方正小标宋简体">
    <w:panose1 w:val="02010600010101010101"/>
    <w:charset w:val="86"/>
    <w:family w:val="auto"/>
    <w:pitch w:val="default"/>
    <w:sig w:usb0="00000001" w:usb1="080E0000" w:usb2="00000000" w:usb3="00000000" w:csb0="00040000" w:csb1="00000000"/>
    <w:embedRegular r:id="rId3" w:fontKey="{301F28EC-2B28-451C-9B93-403415B2F44C}"/>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8A12C">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852"/>
    <w:rsid w:val="00032E55"/>
    <w:rsid w:val="00043172"/>
    <w:rsid w:val="00043C63"/>
    <w:rsid w:val="00085E7D"/>
    <w:rsid w:val="000B5A5D"/>
    <w:rsid w:val="000D2E73"/>
    <w:rsid w:val="00151011"/>
    <w:rsid w:val="00155BB1"/>
    <w:rsid w:val="001B4FDF"/>
    <w:rsid w:val="002003E0"/>
    <w:rsid w:val="002C768C"/>
    <w:rsid w:val="0032165A"/>
    <w:rsid w:val="00375650"/>
    <w:rsid w:val="003A2DB9"/>
    <w:rsid w:val="00405B12"/>
    <w:rsid w:val="004D654D"/>
    <w:rsid w:val="005127D8"/>
    <w:rsid w:val="00541C16"/>
    <w:rsid w:val="0065215A"/>
    <w:rsid w:val="006A3C3E"/>
    <w:rsid w:val="0079726C"/>
    <w:rsid w:val="008263CA"/>
    <w:rsid w:val="009F2751"/>
    <w:rsid w:val="00A06E51"/>
    <w:rsid w:val="00AB4544"/>
    <w:rsid w:val="00AD61E4"/>
    <w:rsid w:val="00AE3852"/>
    <w:rsid w:val="00B018E7"/>
    <w:rsid w:val="00B457CB"/>
    <w:rsid w:val="00BB28CA"/>
    <w:rsid w:val="00C82752"/>
    <w:rsid w:val="00CA4C80"/>
    <w:rsid w:val="00D9428E"/>
    <w:rsid w:val="00E44AD5"/>
    <w:rsid w:val="00EA0573"/>
    <w:rsid w:val="00F04162"/>
    <w:rsid w:val="00F51CED"/>
    <w:rsid w:val="63B84E5D"/>
    <w:rsid w:val="7EA134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uiPriority w:val="0"/>
    <w:pPr>
      <w:tabs>
        <w:tab w:val="center" w:pos="4153"/>
        <w:tab w:val="right" w:pos="8306"/>
      </w:tabs>
      <w:snapToGrid w:val="0"/>
      <w:jc w:val="center"/>
    </w:pPr>
    <w:rPr>
      <w:sz w:val="18"/>
      <w:szCs w:val="18"/>
    </w:rPr>
  </w:style>
  <w:style w:type="paragraph" w:styleId="4">
    <w:name w:val="Normal (Web)"/>
    <w:basedOn w:val="1"/>
    <w:uiPriority w:val="0"/>
    <w:pPr>
      <w:widowControl/>
      <w:spacing w:before="100" w:beforeAutospacing="1" w:after="100" w:afterAutospacing="1"/>
      <w:jc w:val="left"/>
    </w:pPr>
    <w:rPr>
      <w:rFonts w:ascii="宋体" w:hAnsi="宋体" w:eastAsia="宋体" w:cs="宋体"/>
      <w:kern w:val="0"/>
      <w:sz w:val="24"/>
    </w:rPr>
  </w:style>
  <w:style w:type="character" w:customStyle="1" w:styleId="7">
    <w:name w:val="页眉 字符"/>
    <w:basedOn w:val="6"/>
    <w:link w:val="3"/>
    <w:uiPriority w:val="0"/>
    <w:rPr>
      <w:kern w:val="2"/>
      <w:sz w:val="18"/>
      <w:szCs w:val="18"/>
    </w:rPr>
  </w:style>
  <w:style w:type="character" w:customStyle="1" w:styleId="8">
    <w:name w:val="页脚 字符"/>
    <w:basedOn w:val="6"/>
    <w:link w:val="2"/>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1110</Words>
  <Characters>1118</Characters>
  <Lines>36</Lines>
  <Paragraphs>63</Paragraphs>
  <TotalTime>0</TotalTime>
  <ScaleCrop>false</ScaleCrop>
  <LinksUpToDate>false</LinksUpToDate>
  <CharactersWithSpaces>1125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2025-04-21T11:46:00Z</dcterms:created>
  <dc:creator>98553</dc:creator>
  <cp:lastModifiedBy>研究生院</cp:lastModifiedBy>
  <dcterms:modified xsi:type="dcterms:W3CDTF">2025-04-22T00:49:17Z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56F6C48DE1924CE995339A8AC50AD2E0_13</vt:lpwstr>
  </property>
  <property fmtid="{D5CDD505-2E9C-101B-9397-08002B2CF9AE}" pid="4" name="KSOTemplateDocerSaveRecord">
    <vt:lpwstr>eyJoZGlkIjoiNmE4YWE2NWM2NjkyMzUxOGRkNDNkNjJlMmYxYjJlZDkiLCJ1c2VySWQiOiI1ODcwNDk2NjQifQ==</vt:lpwstr>
  </property>
</Properties>
</file>