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CB7A">
      <w:pPr>
        <w:pStyle w:val="5"/>
        <w:ind w:firstLine="643"/>
        <w:rPr>
          <w:rFonts w:hint="eastAsia" w:ascii="方正小标宋简体" w:eastAsia="方正小标宋简体"/>
          <w:b w:val="0"/>
          <w:szCs w:val="36"/>
          <w:shd w:val="clear" w:color="auto" w:fill="auto"/>
        </w:rPr>
      </w:pPr>
      <w:r>
        <w:rPr>
          <w:rFonts w:hint="eastAsia" w:ascii="方正小标宋简体" w:eastAsia="方正小标宋简体"/>
          <w:b w:val="0"/>
          <w:szCs w:val="36"/>
          <w:shd w:val="clear" w:color="auto" w:fill="auto"/>
        </w:rPr>
        <w:t>前沿交叉研究院202</w:t>
      </w:r>
      <w:r>
        <w:rPr>
          <w:rFonts w:ascii="方正小标宋简体" w:eastAsia="方正小标宋简体"/>
          <w:b w:val="0"/>
          <w:szCs w:val="36"/>
          <w:shd w:val="clear" w:color="auto" w:fill="auto"/>
        </w:rPr>
        <w:t>5</w:t>
      </w:r>
      <w:r>
        <w:rPr>
          <w:rFonts w:hint="eastAsia" w:ascii="方正小标宋简体" w:eastAsia="方正小标宋简体"/>
          <w:b w:val="0"/>
          <w:szCs w:val="36"/>
          <w:shd w:val="clear" w:color="auto" w:fill="auto"/>
        </w:rPr>
        <w:t>年博士</w:t>
      </w:r>
    </w:p>
    <w:p w14:paraId="0C3BCFD5">
      <w:pPr>
        <w:pStyle w:val="5"/>
        <w:ind w:firstLine="643"/>
        <w:rPr>
          <w:rFonts w:ascii="方正小标宋简体" w:eastAsia="方正小标宋简体"/>
          <w:b w:val="0"/>
          <w:szCs w:val="36"/>
          <w:shd w:val="clear" w:color="auto" w:fill="auto"/>
        </w:rPr>
      </w:pPr>
      <w:r>
        <w:rPr>
          <w:rFonts w:hint="eastAsia" w:ascii="方正小标宋简体" w:eastAsia="方正小标宋简体"/>
          <w:b w:val="0"/>
          <w:szCs w:val="36"/>
          <w:shd w:val="clear" w:color="auto" w:fill="auto"/>
        </w:rPr>
        <w:t>申请考核制招生工作方案</w:t>
      </w:r>
    </w:p>
    <w:p w14:paraId="6DA0D633">
      <w:pPr>
        <w:ind w:firstLine="560"/>
        <w:rPr>
          <w:shd w:val="clear" w:color="auto" w:fill="auto"/>
        </w:rPr>
      </w:pPr>
      <w:r>
        <w:rPr>
          <w:rFonts w:hint="eastAsia"/>
          <w:shd w:val="clear" w:color="auto" w:fill="auto"/>
        </w:rPr>
        <w:t>根据南京农业大学《南京农业大学2025年博士研究生招生章程</w:t>
      </w:r>
      <w:r>
        <w:rPr>
          <w:shd w:val="clear" w:color="auto" w:fill="auto"/>
        </w:rPr>
        <w:t>》精神，结合</w:t>
      </w:r>
      <w:r>
        <w:rPr>
          <w:rFonts w:hint="eastAsia"/>
          <w:shd w:val="clear" w:color="auto" w:fill="auto"/>
        </w:rPr>
        <w:t>前沿交叉研究院</w:t>
      </w:r>
      <w:r>
        <w:rPr>
          <w:shd w:val="clear" w:color="auto" w:fill="auto"/>
        </w:rPr>
        <w:t>实际情况及博士生培养规律，遵循公开、公平、公正原则，制定本方案。</w:t>
      </w:r>
    </w:p>
    <w:p w14:paraId="4E4648BB">
      <w:pPr>
        <w:ind w:firstLine="560"/>
        <w:rPr>
          <w:shd w:val="clear" w:color="auto" w:fill="auto"/>
        </w:rPr>
      </w:pPr>
      <w:r>
        <w:rPr>
          <w:rFonts w:hint="eastAsia"/>
          <w:shd w:val="clear" w:color="auto" w:fill="auto"/>
        </w:rPr>
        <w:t>博士研究生“申请考核制”包括个人申请、学科考核、学院复核和学校审批公示四个环节。</w:t>
      </w:r>
      <w:r>
        <w:t>学院成立招生工作领导小组、材料</w:t>
      </w:r>
      <w:r>
        <w:rPr>
          <w:rFonts w:hint="eastAsia"/>
        </w:rPr>
        <w:t>考核小</w:t>
      </w:r>
      <w:r>
        <w:t>组</w:t>
      </w:r>
      <w:r>
        <w:rPr>
          <w:rFonts w:hint="eastAsia"/>
        </w:rPr>
        <w:t>、综合考核小组及监督小组</w:t>
      </w:r>
      <w:r>
        <w:t>，以保障上述环节及本</w:t>
      </w:r>
      <w:r>
        <w:rPr>
          <w:rFonts w:hint="eastAsia"/>
        </w:rPr>
        <w:t>方案</w:t>
      </w:r>
      <w:r>
        <w:t>的执行。</w:t>
      </w:r>
      <w:r>
        <w:rPr>
          <w:rFonts w:hint="eastAsia"/>
          <w:shd w:val="clear" w:color="auto" w:fill="auto"/>
        </w:rPr>
        <w:t>符合报考条件的考生自愿申请，提交能够反映其英语能力、科研能力和综合素质的相关材料，学科依据考生申请材料确定考核通过名单，考核小组组织复核决定拟录取名单，学院核准后报学校审批。具体方案如下：</w:t>
      </w:r>
    </w:p>
    <w:p w14:paraId="7960FE7A">
      <w:pPr>
        <w:pStyle w:val="2"/>
      </w:pPr>
      <w:r>
        <w:t>一、</w:t>
      </w:r>
      <w:r>
        <w:rPr>
          <w:rFonts w:hint="eastAsia"/>
        </w:rPr>
        <w:t>组织领导</w:t>
      </w:r>
    </w:p>
    <w:p w14:paraId="190F98A4">
      <w:pPr>
        <w:ind w:firstLine="562"/>
      </w:pPr>
      <w:r>
        <w:rPr>
          <w:rFonts w:hint="eastAsia" w:ascii="楷体_GB2312" w:eastAsia="楷体_GB2312"/>
          <w:b/>
        </w:rPr>
        <w:t>1.招生工作领导小组：</w:t>
      </w:r>
      <w:r>
        <w:t>负责</w:t>
      </w:r>
      <w:r>
        <w:rPr>
          <w:rFonts w:hint="eastAsia"/>
        </w:rPr>
        <w:t>指导和</w:t>
      </w:r>
      <w:r>
        <w:t>协调博士生招生“</w:t>
      </w:r>
      <w:r>
        <w:rPr>
          <w:rFonts w:hint="eastAsia"/>
        </w:rPr>
        <w:t>申请考核</w:t>
      </w:r>
      <w:r>
        <w:t>制”</w:t>
      </w:r>
      <w:r>
        <w:rPr>
          <w:rFonts w:hint="eastAsia"/>
        </w:rPr>
        <w:t>工作</w:t>
      </w:r>
      <w:r>
        <w:t>的实施。工作组组长由院长担任，副组长由分管研究生工作的副院长担任，其他成员由二级学科负责人、系主任组成。</w:t>
      </w:r>
    </w:p>
    <w:p w14:paraId="065F8B0C">
      <w:pPr>
        <w:ind w:firstLine="562"/>
      </w:pPr>
      <w:r>
        <w:rPr>
          <w:rFonts w:hint="eastAsia" w:ascii="楷体_GB2312" w:eastAsia="楷体_GB2312"/>
          <w:b/>
        </w:rPr>
        <w:t>2.招生工作监督小组：</w:t>
      </w:r>
      <w:r>
        <w:rPr>
          <w:rFonts w:hint="eastAsia"/>
        </w:rPr>
        <w:t>负责监督、协调学院及学科博士生招生工作。监督小组组长由院党委副书记担任，其他成员由院党委委员和博士生导师组成。</w:t>
      </w:r>
    </w:p>
    <w:p w14:paraId="1A65F911">
      <w:pPr>
        <w:ind w:firstLine="562"/>
      </w:pPr>
      <w:r>
        <w:rPr>
          <w:rFonts w:hint="eastAsia" w:ascii="楷体_GB2312" w:eastAsia="楷体_GB2312"/>
          <w:b/>
        </w:rPr>
        <w:t>3、</w:t>
      </w:r>
      <w:r>
        <w:rPr>
          <w:rFonts w:ascii="楷体_GB2312" w:eastAsia="楷体_GB2312"/>
          <w:b/>
        </w:rPr>
        <w:t>材料</w:t>
      </w:r>
      <w:r>
        <w:rPr>
          <w:rFonts w:hint="eastAsia" w:ascii="楷体_GB2312" w:eastAsia="楷体_GB2312"/>
          <w:b/>
        </w:rPr>
        <w:t>考核小</w:t>
      </w:r>
      <w:r>
        <w:rPr>
          <w:rFonts w:ascii="楷体_GB2312" w:eastAsia="楷体_GB2312"/>
          <w:b/>
        </w:rPr>
        <w:t>组：</w:t>
      </w:r>
      <w:r>
        <w:t>负责学院所有申请人递交材料的审核工作</w:t>
      </w:r>
      <w:r>
        <w:rPr>
          <w:rFonts w:hint="eastAsia"/>
        </w:rPr>
        <w:t>，</w:t>
      </w:r>
      <w:r>
        <w:t>确定复核名单。审核组组长由分管研究生工作的副院长担任，其他成员由</w:t>
      </w:r>
      <w:r>
        <w:rPr>
          <w:rFonts w:hint="eastAsia"/>
        </w:rPr>
        <w:t>学科点长、系主任、</w:t>
      </w:r>
      <w:r>
        <w:t>博士生导师组成。</w:t>
      </w:r>
    </w:p>
    <w:p w14:paraId="5510D35F">
      <w:pPr>
        <w:ind w:firstLine="562"/>
      </w:pPr>
      <w:r>
        <w:rPr>
          <w:rFonts w:hint="eastAsia"/>
          <w:b/>
        </w:rPr>
        <w:t>4、综合考核小</w:t>
      </w:r>
      <w:r>
        <w:rPr>
          <w:b/>
        </w:rPr>
        <w:t>组：</w:t>
      </w:r>
      <w:r>
        <w:t>负责本学科申请人的</w:t>
      </w:r>
      <w:r>
        <w:rPr>
          <w:rFonts w:hint="eastAsia"/>
        </w:rPr>
        <w:t>复核</w:t>
      </w:r>
      <w:r>
        <w:t>工作。</w:t>
      </w:r>
      <w:r>
        <w:rPr>
          <w:rFonts w:hint="eastAsia"/>
        </w:rPr>
        <w:t>综合考核小</w:t>
      </w:r>
      <w:r>
        <w:t>组组长由本学科负责人担任，成员由来自本学科的博士生导师组成。</w:t>
      </w:r>
    </w:p>
    <w:p w14:paraId="0189C752">
      <w:pPr>
        <w:pStyle w:val="2"/>
      </w:pPr>
      <w:r>
        <w:t>二、申请条件</w:t>
      </w:r>
    </w:p>
    <w:p w14:paraId="1DB0462B">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（一）政治思想表现好，品德优良，遵纪守法，身心健康。</w:t>
      </w:r>
    </w:p>
    <w:p w14:paraId="0E80AE00">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二）硕士研究生毕业或已获硕士学位的人员；应届硕士毕业生（最迟须在入学前取得毕业证书或取得学位证书）；在境外（含香港和澳门）获得学历和学位的考生，须凭教育部留学服务中心的认证证书方可参加报名。</w:t>
      </w:r>
    </w:p>
    <w:p w14:paraId="799FF4D3">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（三）本科、硕士阶段课程成绩优良，专业基础扎实，具有较突出的科研能力和较强的创新意识且已取得较为显著的科研成果。</w:t>
      </w:r>
    </w:p>
    <w:p w14:paraId="2CA851C2">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（四）英语水平</w:t>
      </w:r>
    </w:p>
    <w:p w14:paraId="7FED01A2">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r>
        <w:rPr>
          <w:rFonts w:hint="eastAsia"/>
        </w:rPr>
        <w:t>三、申请程序</w:t>
      </w:r>
    </w:p>
    <w:p w14:paraId="4264AAA6">
      <w:pPr>
        <w:spacing w:line="240" w:lineRule="auto"/>
        <w:ind w:firstLine="560" w:firstLineChars="0"/>
        <w:rPr>
          <w:rFonts w:ascii="楷体_GB2312" w:eastAsia="楷体_GB2312"/>
          <w:b/>
        </w:rPr>
      </w:pPr>
      <w:r>
        <w:rPr>
          <w:rFonts w:hint="eastAsia" w:ascii="楷体_GB2312" w:eastAsia="楷体_GB2312"/>
          <w:b/>
        </w:rPr>
        <w:t>（一）网上报名</w:t>
      </w:r>
    </w:p>
    <w:p w14:paraId="2AF37374">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申请人应参照当年南京农业大学博士招生目录中公布的专业或研究方向及导师名单，于2024年12月10日8:00至2024年12月31日17:00，申请者在中国研招网（http://yz.chsi.com.cn/）进行网上报名和网上交费，报名费：200元，未交费者报名信息无效，报名交费后，不办理退费手续，逾期不得补报名和补缴费。请注意：每位考生只能保留一条有效报名信息，若重复报名，则以最后一条报名信息为准，届时请考生务必反复核对各项报名信息确保无误后再确认提交。</w:t>
      </w:r>
    </w:p>
    <w:p w14:paraId="58A0F81D">
      <w:pPr>
        <w:spacing w:line="240" w:lineRule="auto"/>
        <w:ind w:firstLine="560" w:firstLineChars="0"/>
        <w:rPr>
          <w:rFonts w:ascii="楷体_GB2312" w:eastAsia="楷体_GB2312"/>
          <w:b/>
        </w:rPr>
      </w:pPr>
      <w:r>
        <w:rPr>
          <w:rFonts w:hint="eastAsia" w:ascii="楷体_GB2312" w:eastAsia="楷体_GB2312"/>
          <w:b/>
        </w:rPr>
        <w:t>（二）提交电子申请材料</w:t>
      </w:r>
    </w:p>
    <w:p w14:paraId="6606DB0F">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网报期间，请申请人将以下各项电子版材料扫描为PDF文件，按照材料清单序号和名称命名，并于网上报名期间在系统及时上传，此阶段不必邮寄纸质材料。具体材料清单如下：</w:t>
      </w:r>
    </w:p>
    <w:p w14:paraId="75D638CD">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1.《南京农业大学2024年报考博士学位</w:t>
      </w:r>
      <w:r>
        <w:rPr>
          <w:rFonts w:ascii="仿宋" w:hAnsi="仿宋" w:eastAsia="仿宋" w:cs="仿宋"/>
          <w:szCs w:val="28"/>
          <w:shd w:val="clear" w:color="auto" w:fill="auto"/>
        </w:rPr>
        <w:t>研究生</w:t>
      </w:r>
      <w:r>
        <w:rPr>
          <w:rFonts w:hint="eastAsia" w:ascii="仿宋" w:hAnsi="仿宋" w:eastAsia="仿宋" w:cs="仿宋"/>
          <w:szCs w:val="28"/>
          <w:shd w:val="clear" w:color="auto" w:fill="auto"/>
        </w:rPr>
        <w:t>申请表》。</w:t>
      </w:r>
    </w:p>
    <w:p w14:paraId="364DF51A">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2.本人有效身份证正、反面。</w:t>
      </w:r>
    </w:p>
    <w:p w14:paraId="67C0BE2F">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3.本科毕业、学位证书。</w:t>
      </w:r>
    </w:p>
    <w:p w14:paraId="684D05CF">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4.硕士学历、学位证书（应届硕士毕业生提交学生证）。</w:t>
      </w:r>
    </w:p>
    <w:p w14:paraId="6DE4D640">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5.英语水平证书或成绩单（若无，则无需上传）。</w:t>
      </w:r>
    </w:p>
    <w:p w14:paraId="7EFC3F58">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6.获奖证书、课题、发明专利、已发表（录用）论文等的原件或其它可以证明考生科研能力和水平的证明材料（若无，则无需上传）。</w:t>
      </w:r>
    </w:p>
    <w:p w14:paraId="2E171AF7">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7.硕士学位论文的封面和摘要（应届硕士毕业生可提供论文开题报告、论文摘要和核心研究内容等）。</w:t>
      </w:r>
    </w:p>
    <w:p w14:paraId="47724348">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8.</w:t>
      </w:r>
      <w:r>
        <w:rPr>
          <w:rFonts w:hint="eastAsia" w:ascii="仿宋" w:hAnsi="仿宋" w:eastAsia="仿宋" w:cs="仿宋"/>
          <w:b/>
          <w:szCs w:val="28"/>
          <w:shd w:val="clear" w:color="auto" w:fill="auto"/>
        </w:rPr>
        <w:t>拟攻读博士学位的科学研究计划</w:t>
      </w:r>
      <w:r>
        <w:rPr>
          <w:rFonts w:hint="eastAsia" w:ascii="仿宋" w:hAnsi="仿宋" w:eastAsia="仿宋" w:cs="仿宋"/>
          <w:szCs w:val="28"/>
          <w:shd w:val="clear" w:color="auto" w:fill="auto"/>
        </w:rPr>
        <w:t>（不少于3000字）。</w:t>
      </w:r>
    </w:p>
    <w:p w14:paraId="211F12DF">
      <w:pPr>
        <w:spacing w:line="240" w:lineRule="auto"/>
        <w:ind w:firstLine="560" w:firstLineChars="0"/>
        <w:rPr>
          <w:rFonts w:ascii="仿宋_GB2312"/>
          <w:bCs/>
          <w:szCs w:val="28"/>
        </w:rPr>
      </w:pPr>
      <w:r>
        <w:rPr>
          <w:rFonts w:hint="eastAsia" w:ascii="仿宋" w:hAnsi="仿宋" w:eastAsia="仿宋" w:cs="仿宋"/>
          <w:szCs w:val="28"/>
          <w:shd w:val="clear" w:color="auto" w:fill="auto"/>
        </w:rPr>
        <w:t>9.下载并填写《南京农业大学2024年报考博士学位</w:t>
      </w:r>
      <w:r>
        <w:rPr>
          <w:rFonts w:ascii="仿宋" w:hAnsi="仿宋" w:eastAsia="仿宋" w:cs="仿宋"/>
          <w:szCs w:val="28"/>
          <w:shd w:val="clear" w:color="auto" w:fill="auto"/>
        </w:rPr>
        <w:t>研究生</w:t>
      </w:r>
      <w:r>
        <w:rPr>
          <w:rFonts w:hint="eastAsia" w:ascii="仿宋" w:hAnsi="仿宋" w:eastAsia="仿宋" w:cs="仿宋"/>
          <w:szCs w:val="28"/>
          <w:shd w:val="clear" w:color="auto" w:fill="auto"/>
        </w:rPr>
        <w:t>思想政治品德考核表》，</w:t>
      </w:r>
      <w:r>
        <w:rPr>
          <w:rFonts w:hint="eastAsia" w:ascii="仿宋_GB2312"/>
          <w:bCs/>
          <w:szCs w:val="28"/>
        </w:rPr>
        <w:t>应届生加盖所在学院党委公章</w:t>
      </w:r>
      <w:r>
        <w:rPr>
          <w:rFonts w:hint="eastAsia"/>
          <w:bCs/>
          <w:szCs w:val="28"/>
        </w:rPr>
        <w:t>，</w:t>
      </w:r>
      <w:r>
        <w:rPr>
          <w:rFonts w:hint="eastAsia" w:ascii="仿宋_GB2312"/>
          <w:bCs/>
          <w:szCs w:val="28"/>
        </w:rPr>
        <w:t>已就业</w:t>
      </w:r>
      <w:r>
        <w:rPr>
          <w:rFonts w:hint="eastAsia"/>
          <w:bCs/>
          <w:szCs w:val="28"/>
        </w:rPr>
        <w:t>考生</w:t>
      </w:r>
      <w:r>
        <w:rPr>
          <w:rFonts w:hint="eastAsia" w:ascii="仿宋_GB2312"/>
          <w:bCs/>
          <w:szCs w:val="28"/>
        </w:rPr>
        <w:t>加盖所在单位党委</w:t>
      </w:r>
      <w:r>
        <w:rPr>
          <w:rFonts w:hint="eastAsia"/>
          <w:bCs/>
          <w:szCs w:val="28"/>
        </w:rPr>
        <w:t>或</w:t>
      </w:r>
      <w:r>
        <w:rPr>
          <w:rFonts w:hint="eastAsia" w:ascii="仿宋_GB2312"/>
          <w:bCs/>
          <w:szCs w:val="28"/>
        </w:rPr>
        <w:t>人事部门公章</w:t>
      </w:r>
      <w:r>
        <w:rPr>
          <w:rFonts w:hint="eastAsia"/>
          <w:bCs/>
          <w:szCs w:val="28"/>
        </w:rPr>
        <w:t>，</w:t>
      </w:r>
      <w:r>
        <w:rPr>
          <w:rFonts w:hint="eastAsia" w:ascii="仿宋_GB2312"/>
          <w:bCs/>
          <w:szCs w:val="28"/>
        </w:rPr>
        <w:t>未就业考生加盖档案保管单位或户口所在地街道公章。</w:t>
      </w:r>
    </w:p>
    <w:p w14:paraId="6625FA70">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10.两名相关领域内（农学、工学、自动化、计算机、人工智能等相关专业）副教授（或相当于副教授)及以上职称专家推荐表（建议硕士期间导师作为推荐专家之一，推荐专家不含报考导师）。</w:t>
      </w:r>
    </w:p>
    <w:p w14:paraId="5A057832">
      <w:pPr>
        <w:spacing w:line="240" w:lineRule="auto"/>
        <w:ind w:firstLine="560" w:firstLineChars="0"/>
        <w:rPr>
          <w:rFonts w:ascii="楷体_GB2312" w:eastAsia="楷体_GB2312"/>
          <w:b/>
        </w:rPr>
      </w:pPr>
      <w:r>
        <w:rPr>
          <w:rFonts w:hint="eastAsia" w:ascii="楷体_GB2312" w:eastAsia="楷体_GB2312"/>
          <w:b/>
        </w:rPr>
        <w:t>（三）学科考核和学院复核</w:t>
      </w:r>
    </w:p>
    <w:p w14:paraId="1EE10A61">
      <w:pPr>
        <w:spacing w:line="240" w:lineRule="auto"/>
        <w:ind w:firstLine="560" w:firstLineChars="0"/>
        <w:rPr>
          <w:rFonts w:ascii="楷体_GB2312" w:eastAsia="楷体_GB2312"/>
          <w:b/>
        </w:rPr>
      </w:pPr>
      <w:r>
        <w:rPr>
          <w:rFonts w:hint="eastAsia" w:ascii="楷体_GB2312" w:eastAsia="楷体_GB2312"/>
          <w:b/>
        </w:rPr>
        <w:t>1.初审</w:t>
      </w:r>
    </w:p>
    <w:p w14:paraId="3A57FA83">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在考生提交材料截止日期后，学院组成考核学科专家组（专家组的成员原则上为博士生导师，一般不少于5人），根据申请人所提交的申请材料，对其科研潜质和基本素质进行初审考核，综合初审结果和招生导师的基本意向，提出进入复核阶段的考生名单，并报送研究生院统一公布。</w:t>
      </w:r>
    </w:p>
    <w:p w14:paraId="5C32542C">
      <w:pPr>
        <w:spacing w:line="240" w:lineRule="auto"/>
        <w:ind w:firstLine="560" w:firstLineChars="0"/>
        <w:rPr>
          <w:rFonts w:ascii="楷体_GB2312" w:eastAsia="楷体_GB2312"/>
          <w:b/>
        </w:rPr>
      </w:pPr>
      <w:r>
        <w:rPr>
          <w:rFonts w:hint="eastAsia" w:ascii="楷体_GB2312" w:eastAsia="楷体_GB2312"/>
          <w:b/>
        </w:rPr>
        <w:t>2.英语入学考试</w:t>
      </w:r>
    </w:p>
    <w:p w14:paraId="01168BFF">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英语水平未达到报名条件要求的申请者，需参加学校统一组织的英语入学考试，考试成绩达到学校划定的合格分数线后，可视为英语水平考核通过。</w:t>
      </w:r>
    </w:p>
    <w:p w14:paraId="0C50C867">
      <w:pPr>
        <w:spacing w:line="240" w:lineRule="auto"/>
        <w:ind w:firstLine="560" w:firstLineChars="0"/>
        <w:rPr>
          <w:rFonts w:ascii="楷体_GB2312" w:eastAsia="楷体_GB2312"/>
          <w:b/>
        </w:rPr>
      </w:pPr>
      <w:r>
        <w:rPr>
          <w:rFonts w:hint="eastAsia" w:ascii="楷体_GB2312" w:eastAsia="楷体_GB2312"/>
          <w:b/>
        </w:rPr>
        <w:t>3.提交纸质申请材料</w:t>
      </w:r>
    </w:p>
    <w:p w14:paraId="1224E100">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进入复核名单的考生，在参加复核时将所有</w:t>
      </w:r>
      <w:r>
        <w:rPr>
          <w:rFonts w:hint="eastAsia" w:ascii="仿宋" w:hAnsi="仿宋" w:eastAsia="仿宋" w:cs="仿宋"/>
          <w:b/>
          <w:bCs/>
          <w:szCs w:val="28"/>
          <w:shd w:val="clear" w:color="auto" w:fill="auto"/>
        </w:rPr>
        <w:t>已盖章、签字</w:t>
      </w:r>
      <w:r>
        <w:rPr>
          <w:rFonts w:hint="eastAsia" w:ascii="仿宋" w:hAnsi="仿宋" w:eastAsia="仿宋" w:cs="仿宋"/>
          <w:szCs w:val="28"/>
          <w:shd w:val="clear" w:color="auto" w:fill="auto"/>
        </w:rPr>
        <w:t>的纸质材料原件交到学院考核，学院考核后留复印件备查，纸质材料包括申请程序（二）提交电子申请材料中的第1-10项材料和网上报名系统打印的《博士学位研究生网上报名信息简表》（</w:t>
      </w:r>
      <w:r>
        <w:rPr>
          <w:rFonts w:hint="eastAsia" w:ascii="仿宋" w:hAnsi="仿宋" w:eastAsia="仿宋" w:cs="仿宋"/>
          <w:b/>
          <w:bCs/>
          <w:szCs w:val="28"/>
          <w:shd w:val="clear" w:color="auto" w:fill="auto"/>
        </w:rPr>
        <w:t>注：本表中“本人自述”部分请空白</w:t>
      </w:r>
      <w:r>
        <w:rPr>
          <w:rFonts w:hint="eastAsia" w:ascii="仿宋" w:hAnsi="仿宋" w:eastAsia="仿宋" w:cs="仿宋"/>
          <w:szCs w:val="28"/>
          <w:shd w:val="clear" w:color="auto" w:fill="auto"/>
        </w:rPr>
        <w:t>）。</w:t>
      </w:r>
    </w:p>
    <w:p w14:paraId="2BD87EB7">
      <w:pPr>
        <w:spacing w:line="240" w:lineRule="auto"/>
        <w:ind w:firstLine="560" w:firstLineChars="0"/>
        <w:rPr>
          <w:rFonts w:ascii="楷体_GB2312" w:eastAsia="楷体_GB2312"/>
          <w:b/>
        </w:rPr>
      </w:pPr>
      <w:r>
        <w:rPr>
          <w:rFonts w:hint="eastAsia" w:ascii="楷体_GB2312" w:eastAsia="楷体_GB2312"/>
          <w:b/>
        </w:rPr>
        <w:t>4.复核及体检</w:t>
      </w:r>
    </w:p>
    <w:p w14:paraId="2B81F16C">
      <w:pPr>
        <w:spacing w:line="240" w:lineRule="auto"/>
        <w:ind w:firstLine="560" w:firstLineChars="0"/>
        <w:rPr>
          <w:rFonts w:ascii="仿宋" w:hAnsi="仿宋" w:eastAsia="仿宋"/>
          <w:szCs w:val="28"/>
        </w:rPr>
      </w:pPr>
      <w:r>
        <w:rPr>
          <w:rFonts w:hint="eastAsia" w:ascii="仿宋" w:hAnsi="仿宋" w:eastAsia="仿宋"/>
          <w:szCs w:val="28"/>
        </w:rPr>
        <w:t>根据参加考核人数按</w:t>
      </w:r>
      <w:r>
        <w:rPr>
          <w:rFonts w:ascii="仿宋" w:hAnsi="仿宋" w:eastAsia="仿宋"/>
          <w:szCs w:val="28"/>
        </w:rPr>
        <w:t>学科</w:t>
      </w:r>
      <w:r>
        <w:rPr>
          <w:rFonts w:hint="eastAsia" w:ascii="仿宋" w:hAnsi="仿宋" w:eastAsia="仿宋"/>
          <w:szCs w:val="28"/>
        </w:rPr>
        <w:t>或研究方向组成专家组进行复核工作，对进入复核阶段的考生进行综合能力考核</w:t>
      </w:r>
      <w:r>
        <w:rPr>
          <w:rFonts w:ascii="仿宋" w:hAnsi="仿宋" w:eastAsia="仿宋"/>
          <w:szCs w:val="28"/>
        </w:rPr>
        <w:t>，</w:t>
      </w:r>
      <w:r>
        <w:rPr>
          <w:rFonts w:hint="eastAsia" w:ascii="仿宋" w:hAnsi="仿宋" w:eastAsia="仿宋"/>
          <w:szCs w:val="28"/>
        </w:rPr>
        <w:t>考核</w:t>
      </w:r>
      <w:r>
        <w:rPr>
          <w:rFonts w:ascii="仿宋" w:hAnsi="仿宋" w:eastAsia="仿宋"/>
          <w:szCs w:val="28"/>
        </w:rPr>
        <w:t>具体时间、地点</w:t>
      </w:r>
      <w:r>
        <w:rPr>
          <w:rFonts w:hint="eastAsia" w:ascii="仿宋" w:hAnsi="仿宋" w:eastAsia="仿宋"/>
          <w:szCs w:val="28"/>
        </w:rPr>
        <w:t>，原则上</w:t>
      </w:r>
      <w:r>
        <w:rPr>
          <w:rFonts w:ascii="仿宋" w:hAnsi="仿宋" w:eastAsia="仿宋"/>
          <w:szCs w:val="28"/>
        </w:rPr>
        <w:t>提前</w:t>
      </w:r>
      <w:r>
        <w:rPr>
          <w:rFonts w:hint="eastAsia" w:ascii="仿宋" w:hAnsi="仿宋" w:eastAsia="仿宋"/>
          <w:szCs w:val="28"/>
        </w:rPr>
        <w:t>7天</w:t>
      </w:r>
      <w:r>
        <w:rPr>
          <w:rFonts w:ascii="仿宋" w:hAnsi="仿宋" w:eastAsia="仿宋"/>
          <w:szCs w:val="28"/>
        </w:rPr>
        <w:t>在学院主页公布，复核内容包括专业知识考查与综合能力面试</w:t>
      </w:r>
      <w:r>
        <w:rPr>
          <w:rFonts w:hint="eastAsia" w:ascii="仿宋" w:hAnsi="仿宋" w:eastAsia="仿宋"/>
          <w:szCs w:val="28"/>
        </w:rPr>
        <w:t>。</w:t>
      </w:r>
    </w:p>
    <w:p w14:paraId="0BD2E0AD">
      <w:pPr>
        <w:ind w:firstLine="560"/>
        <w:rPr>
          <w:rFonts w:hint="eastAsia"/>
        </w:rPr>
      </w:pPr>
      <w:r>
        <w:rPr>
          <w:rFonts w:ascii="仿宋" w:hAnsi="仿宋" w:eastAsia="仿宋"/>
          <w:szCs w:val="28"/>
        </w:rPr>
        <w:t>专业知识考查</w:t>
      </w:r>
      <w:r>
        <w:rPr>
          <w:rFonts w:hint="eastAsia" w:ascii="仿宋" w:hAnsi="仿宋" w:eastAsia="仿宋"/>
          <w:szCs w:val="28"/>
        </w:rPr>
        <w:t>及</w:t>
      </w:r>
      <w:r>
        <w:t>综合</w:t>
      </w:r>
      <w:r>
        <w:rPr>
          <w:rFonts w:hint="eastAsia"/>
        </w:rPr>
        <w:t>素质</w:t>
      </w:r>
      <w:r>
        <w:t>测试采用面试方式</w:t>
      </w:r>
      <w:r>
        <w:rPr>
          <w:rFonts w:hint="eastAsia"/>
        </w:rPr>
        <w:t>，面试时对考生的本科、硕士期间学习、科研能力（包含本科、硕士期间所获奖学金及论文、专利发表等情况）、英语水平(含文献阅读、摘要写作、口语和听力等）、政治思想与精神风貌、语言表达能力、专业知识背景、创新思维意识、专家推荐、拟攻读学科博士学位的研究设想等情况进行综合考核。主要包括三部分：</w:t>
      </w:r>
      <w:r>
        <w:rPr>
          <w:rFonts w:hint="eastAsia"/>
          <w:b/>
          <w:bCs/>
        </w:rPr>
        <w:t>英语水平</w:t>
      </w:r>
      <w:r>
        <w:rPr>
          <w:rFonts w:hint="eastAsia"/>
          <w:b w:val="0"/>
          <w:bCs w:val="0"/>
        </w:rPr>
        <w:t>（</w:t>
      </w:r>
      <w:r>
        <w:rPr>
          <w:rFonts w:hint="eastAsia"/>
        </w:rPr>
        <w:t>考察口语交流和表达能力，每位申请人准备英文自我介绍（1分钟）和</w:t>
      </w:r>
      <w:r>
        <w:rPr>
          <w:rFonts w:hint="eastAsia"/>
          <w:highlight w:val="none"/>
        </w:rPr>
        <w:t>英文汇报</w:t>
      </w:r>
      <w:r>
        <w:rPr>
          <w:rFonts w:hint="eastAsia"/>
          <w:highlight w:val="none"/>
          <w:lang w:eastAsia="zh-CN"/>
        </w:rPr>
        <w:t>（</w:t>
      </w:r>
      <w:r>
        <w:rPr>
          <w:rFonts w:hint="eastAsia"/>
          <w:highlight w:val="none"/>
          <w:lang w:val="en-US" w:eastAsia="zh-CN"/>
        </w:rPr>
        <w:t>须准备</w:t>
      </w:r>
      <w:r>
        <w:rPr>
          <w:rFonts w:hint="eastAsia"/>
          <w:highlight w:val="none"/>
        </w:rPr>
        <w:t>PPT</w:t>
      </w:r>
      <w:r>
        <w:rPr>
          <w:rFonts w:hint="eastAsia"/>
          <w:highlight w:val="none"/>
          <w:lang w:eastAsia="zh-CN"/>
        </w:rPr>
        <w:t>）</w:t>
      </w:r>
      <w:r>
        <w:rPr>
          <w:rFonts w:hint="eastAsia"/>
        </w:rPr>
        <w:t>，包括个人基本情况、研究进展、获得成果、攻读博士学位的科研计划等，满分</w:t>
      </w:r>
      <w:r>
        <w:rPr>
          <w:rFonts w:hint="eastAsia"/>
          <w:b/>
          <w:bCs/>
        </w:rPr>
        <w:t>100分</w:t>
      </w:r>
      <w:r>
        <w:rPr>
          <w:rFonts w:hint="eastAsia"/>
          <w:b w:val="0"/>
          <w:bCs w:val="0"/>
        </w:rPr>
        <w:t>）</w:t>
      </w:r>
      <w:r>
        <w:rPr>
          <w:rFonts w:hint="eastAsia"/>
        </w:rPr>
        <w:t>，</w:t>
      </w:r>
      <w:r>
        <w:rPr>
          <w:rFonts w:hint="eastAsia"/>
          <w:b/>
          <w:bCs/>
        </w:rPr>
        <w:t>科研情况</w:t>
      </w:r>
      <w:r>
        <w:rPr>
          <w:rFonts w:hint="eastAsia"/>
        </w:rPr>
        <w:t>（包括以往的科研工作、研究进展、相关实验技能等，</w:t>
      </w:r>
      <w:r>
        <w:rPr>
          <w:rFonts w:hint="eastAsia"/>
          <w:b/>
          <w:bCs/>
        </w:rPr>
        <w:t>满分100分</w:t>
      </w:r>
      <w:r>
        <w:rPr>
          <w:rFonts w:hint="eastAsia"/>
        </w:rPr>
        <w:t>），</w:t>
      </w:r>
      <w:r>
        <w:rPr>
          <w:rFonts w:hint="eastAsia"/>
          <w:b/>
          <w:bCs/>
        </w:rPr>
        <w:t>综合能力</w:t>
      </w:r>
      <w:r>
        <w:rPr>
          <w:rFonts w:hint="eastAsia"/>
        </w:rPr>
        <w:t>（对考核小组的提问现场作答，考察学生综合素质能力、科研创新能力、现场应变能力、思想政治素质和品德，</w:t>
      </w:r>
      <w:r>
        <w:rPr>
          <w:rFonts w:hint="eastAsia"/>
          <w:b/>
          <w:bCs/>
        </w:rPr>
        <w:t>满分100分</w:t>
      </w:r>
      <w:r>
        <w:rPr>
          <w:rFonts w:hint="eastAsia"/>
          <w:b w:val="0"/>
          <w:bCs w:val="0"/>
        </w:rPr>
        <w:t>）</w:t>
      </w:r>
      <w:r>
        <w:rPr>
          <w:rFonts w:hint="eastAsia"/>
        </w:rPr>
        <w:t>。</w:t>
      </w:r>
    </w:p>
    <w:p w14:paraId="13F63533">
      <w:pPr>
        <w:ind w:firstLine="560"/>
        <w:rPr>
          <w:rFonts w:hint="eastAsia"/>
        </w:rPr>
      </w:pPr>
      <w:r>
        <w:rPr>
          <w:rFonts w:hint="eastAsia"/>
        </w:rPr>
        <w:t>考生体检工作由我校校医院在考生入学前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1027562D">
      <w:pPr>
        <w:spacing w:line="240" w:lineRule="auto"/>
        <w:ind w:firstLine="560" w:firstLineChars="0"/>
        <w:rPr>
          <w:rFonts w:ascii="楷体_GB2312" w:eastAsia="楷体_GB2312"/>
          <w:b/>
        </w:rPr>
      </w:pPr>
      <w:r>
        <w:rPr>
          <w:rFonts w:hint="eastAsia" w:ascii="楷体_GB2312" w:eastAsia="楷体_GB2312"/>
          <w:b/>
        </w:rPr>
        <w:t>5.复核成绩公示</w:t>
      </w:r>
    </w:p>
    <w:p w14:paraId="11541C3B">
      <w:pPr>
        <w:spacing w:line="240" w:lineRule="auto"/>
        <w:ind w:firstLine="560" w:firstLineChars="0"/>
        <w:rPr>
          <w:highlight w:val="yellow"/>
        </w:rPr>
      </w:pPr>
      <w:r>
        <w:rPr>
          <w:rFonts w:hint="eastAsia"/>
        </w:rPr>
        <w:t>满分为</w:t>
      </w:r>
      <w:r>
        <w:t>3</w:t>
      </w:r>
      <w:r>
        <w:rPr>
          <w:rFonts w:hint="eastAsia"/>
        </w:rPr>
        <w:t>00分。主要包括英语水平（满分100分）、科研情况（满分100分）、综合能力（满分100分）三部分。</w:t>
      </w:r>
      <w:r>
        <w:rPr>
          <w:rFonts w:hint="eastAsia"/>
          <w:highlight w:val="none"/>
          <w:lang w:val="en-US" w:eastAsia="zh-CN"/>
        </w:rPr>
        <w:t>任一部分</w:t>
      </w:r>
      <w:r>
        <w:rPr>
          <w:rFonts w:hint="eastAsia"/>
          <w:highlight w:val="none"/>
        </w:rPr>
        <w:t>成绩低于60分</w:t>
      </w:r>
      <w:r>
        <w:rPr>
          <w:rFonts w:hint="eastAsia"/>
          <w:highlight w:val="none"/>
          <w:lang w:val="en-US" w:eastAsia="zh-CN"/>
        </w:rPr>
        <w:t>者</w:t>
      </w:r>
      <w:r>
        <w:rPr>
          <w:rFonts w:hint="eastAsia"/>
          <w:highlight w:val="none"/>
        </w:rPr>
        <w:t>不予录取。</w:t>
      </w:r>
      <w:bookmarkStart w:id="0" w:name="_GoBack"/>
      <w:bookmarkEnd w:id="0"/>
    </w:p>
    <w:p w14:paraId="3A0964CE">
      <w:pPr>
        <w:spacing w:line="240" w:lineRule="auto"/>
        <w:ind w:firstLine="560" w:firstLineChars="0"/>
        <w:rPr>
          <w:rFonts w:ascii="仿宋" w:hAnsi="仿宋" w:eastAsia="仿宋" w:cs="仿宋"/>
          <w:szCs w:val="28"/>
          <w:shd w:val="clear" w:color="auto" w:fill="auto"/>
        </w:rPr>
      </w:pPr>
      <w:r>
        <w:rPr>
          <w:rFonts w:hint="eastAsia" w:ascii="仿宋" w:hAnsi="仿宋" w:eastAsia="仿宋"/>
          <w:szCs w:val="28"/>
        </w:rPr>
        <w:t>学</w:t>
      </w:r>
      <w:r>
        <w:rPr>
          <w:rFonts w:hint="eastAsia" w:ascii="仿宋" w:hAnsi="仿宋" w:eastAsia="仿宋" w:cs="宋体"/>
          <w:szCs w:val="28"/>
        </w:rPr>
        <w:t>科审核组汇总本学科申请人复核成绩，按报考导师排序，</w:t>
      </w:r>
      <w:r>
        <w:rPr>
          <w:rFonts w:hint="eastAsia" w:ascii="仿宋" w:hAnsi="仿宋" w:eastAsia="仿宋"/>
          <w:szCs w:val="28"/>
        </w:rPr>
        <w:t>根据申请人的复核总成绩排名并在学院网站公示</w:t>
      </w:r>
      <w:r>
        <w:rPr>
          <w:rFonts w:ascii="仿宋" w:hAnsi="仿宋" w:eastAsia="仿宋"/>
          <w:szCs w:val="28"/>
        </w:rPr>
        <w:t>3</w:t>
      </w:r>
      <w:r>
        <w:rPr>
          <w:rFonts w:hint="eastAsia" w:ascii="仿宋" w:hAnsi="仿宋" w:eastAsia="仿宋"/>
          <w:szCs w:val="28"/>
        </w:rPr>
        <w:t>个工作日。</w:t>
      </w:r>
    </w:p>
    <w:p w14:paraId="156CFEBE">
      <w:pPr>
        <w:spacing w:line="240" w:lineRule="auto"/>
        <w:ind w:firstLine="560" w:firstLineChars="0"/>
        <w:rPr>
          <w:rFonts w:ascii="楷体_GB2312" w:eastAsia="楷体_GB2312"/>
          <w:b/>
        </w:rPr>
      </w:pPr>
      <w:r>
        <w:rPr>
          <w:rFonts w:hint="eastAsia" w:ascii="楷体_GB2312" w:eastAsia="楷体_GB2312"/>
          <w:b/>
        </w:rPr>
        <w:t>6.提交拟录取名单</w:t>
      </w:r>
    </w:p>
    <w:p w14:paraId="11757294">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在结合导师招生资格及名额的基础上，根据申请人的复核总成绩排名，确定拟录取考生名单并上报研究生招生办公室统一公示。</w:t>
      </w:r>
    </w:p>
    <w:p w14:paraId="61B94A0A">
      <w:pPr>
        <w:pStyle w:val="2"/>
        <w:rPr>
          <w:shd w:val="clear" w:color="auto" w:fill="auto"/>
        </w:rPr>
      </w:pPr>
      <w:r>
        <w:rPr>
          <w:rFonts w:hint="eastAsia"/>
          <w:shd w:val="clear" w:color="auto" w:fill="auto"/>
        </w:rPr>
        <w:t>四、学校审批公示</w:t>
      </w:r>
    </w:p>
    <w:p w14:paraId="1C5A5D44">
      <w:pPr>
        <w:spacing w:line="240" w:lineRule="auto"/>
        <w:ind w:firstLine="560" w:firstLineChars="0"/>
        <w:rPr>
          <w:rFonts w:ascii="仿宋" w:hAnsi="仿宋" w:eastAsia="仿宋" w:cs="仿宋"/>
          <w:szCs w:val="28"/>
          <w:shd w:val="clear" w:color="auto" w:fill="auto"/>
        </w:rPr>
      </w:pPr>
      <w:r>
        <w:rPr>
          <w:rFonts w:hint="eastAsia" w:ascii="仿宋" w:hAnsi="仿宋" w:eastAsia="仿宋" w:cs="仿宋"/>
          <w:szCs w:val="28"/>
          <w:shd w:val="clear" w:color="auto" w:fill="auto"/>
        </w:rPr>
        <w:t>依照相关规定，学校招生工作领导小组对拟录取名单进行审定，符合条件的批准录取。拟录取名单在研究生院网页公示10个工作日，未经公示的考生不得录取。</w:t>
      </w:r>
    </w:p>
    <w:p w14:paraId="51B8C84D">
      <w:pPr>
        <w:pStyle w:val="2"/>
        <w:rPr>
          <w:shd w:val="clear" w:color="auto" w:fill="auto"/>
        </w:rPr>
      </w:pPr>
      <w:r>
        <w:rPr>
          <w:rFonts w:hint="eastAsia"/>
          <w:shd w:val="clear" w:color="auto" w:fill="auto"/>
        </w:rPr>
        <w:t>五、监督机制</w:t>
      </w:r>
    </w:p>
    <w:p w14:paraId="38E92091">
      <w:pPr>
        <w:autoSpaceDE w:val="0"/>
        <w:autoSpaceDN w:val="0"/>
        <w:snapToGrid w:val="0"/>
        <w:spacing w:line="560" w:lineRule="exact"/>
        <w:ind w:firstLine="560"/>
        <w:rPr>
          <w:rFonts w:ascii="仿宋" w:hAnsi="仿宋" w:eastAsia="仿宋"/>
          <w:szCs w:val="28"/>
        </w:rPr>
      </w:pPr>
      <w:r>
        <w:rPr>
          <w:rFonts w:ascii="仿宋" w:hAnsi="仿宋" w:eastAsia="仿宋"/>
          <w:szCs w:val="28"/>
        </w:rPr>
        <w:t>学院招生工作监督小组</w:t>
      </w:r>
      <w:r>
        <w:rPr>
          <w:rFonts w:hint="eastAsia" w:ascii="仿宋" w:hAnsi="仿宋" w:eastAsia="仿宋"/>
          <w:szCs w:val="28"/>
        </w:rPr>
        <w:t>对本次博士招生工作的公平、公正、公开进行监督。</w:t>
      </w:r>
    </w:p>
    <w:p w14:paraId="62933869">
      <w:pPr>
        <w:autoSpaceDE w:val="0"/>
        <w:autoSpaceDN w:val="0"/>
        <w:snapToGrid w:val="0"/>
        <w:spacing w:line="560" w:lineRule="exact"/>
        <w:ind w:firstLine="560"/>
        <w:jc w:val="left"/>
        <w:rPr>
          <w:rFonts w:hint="eastAsia" w:ascii="仿宋" w:hAnsi="仿宋" w:eastAsia="仿宋"/>
          <w:szCs w:val="28"/>
          <w:lang w:val="en-US" w:eastAsia="zh-CN"/>
        </w:rPr>
      </w:pPr>
      <w:r>
        <w:rPr>
          <w:rFonts w:ascii="仿宋" w:hAnsi="仿宋" w:eastAsia="仿宋"/>
          <w:szCs w:val="28"/>
        </w:rPr>
        <w:t>举报电话：025-84396686</w:t>
      </w:r>
      <w:r>
        <w:rPr>
          <w:rFonts w:hint="eastAsia" w:ascii="仿宋" w:hAnsi="仿宋" w:eastAsia="仿宋"/>
          <w:szCs w:val="28"/>
          <w:lang w:val="en-US" w:eastAsia="zh-CN"/>
        </w:rPr>
        <w:t xml:space="preserve"> </w:t>
      </w:r>
    </w:p>
    <w:p w14:paraId="44E7F6E6">
      <w:pPr>
        <w:autoSpaceDE w:val="0"/>
        <w:autoSpaceDN w:val="0"/>
        <w:snapToGrid w:val="0"/>
        <w:spacing w:line="560" w:lineRule="exact"/>
        <w:ind w:firstLine="560"/>
        <w:jc w:val="left"/>
        <w:rPr>
          <w:rFonts w:ascii="仿宋" w:hAnsi="仿宋" w:eastAsia="仿宋"/>
          <w:szCs w:val="28"/>
        </w:rPr>
      </w:pPr>
      <w:r>
        <w:rPr>
          <w:rFonts w:ascii="仿宋" w:hAnsi="仿宋" w:eastAsia="仿宋"/>
          <w:szCs w:val="28"/>
        </w:rPr>
        <w:t>接收举报邮箱：</w:t>
      </w:r>
      <w:r>
        <w:rPr>
          <w:rFonts w:hint="eastAsia" w:ascii="仿宋" w:hAnsi="仿宋" w:eastAsia="仿宋"/>
          <w:szCs w:val="28"/>
        </w:rPr>
        <w:t>aais</w:t>
      </w:r>
      <w:r>
        <w:rPr>
          <w:rFonts w:ascii="仿宋" w:hAnsi="仿宋" w:eastAsia="仿宋"/>
          <w:szCs w:val="28"/>
        </w:rPr>
        <w:t>@njau.edu.cn</w:t>
      </w:r>
    </w:p>
    <w:p w14:paraId="11F7BED5">
      <w:pPr>
        <w:pStyle w:val="2"/>
        <w:rPr>
          <w:shd w:val="clear" w:color="auto" w:fill="auto"/>
        </w:rPr>
      </w:pPr>
      <w:r>
        <w:rPr>
          <w:rFonts w:hint="eastAsia"/>
          <w:shd w:val="clear" w:color="auto" w:fill="auto"/>
        </w:rPr>
        <w:t>六、违规处理</w:t>
      </w:r>
    </w:p>
    <w:p w14:paraId="07917514">
      <w:pPr>
        <w:spacing w:line="240" w:lineRule="auto"/>
        <w:ind w:firstLine="560"/>
        <w:rPr>
          <w:rFonts w:hint="eastAsia" w:ascii="仿宋" w:hAnsi="仿宋" w:eastAsia="仿宋" w:cs="仿宋"/>
          <w:szCs w:val="28"/>
          <w:shd w:val="clear" w:color="auto" w:fill="auto"/>
        </w:rPr>
      </w:pPr>
      <w:r>
        <w:rPr>
          <w:rFonts w:hint="eastAsia" w:ascii="仿宋" w:hAnsi="仿宋" w:eastAsia="仿宋" w:cs="仿宋"/>
          <w:szCs w:val="28"/>
          <w:shd w:val="clear" w:color="auto" w:fill="auto"/>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722A7AE6">
      <w:pPr>
        <w:spacing w:line="240" w:lineRule="auto"/>
        <w:ind w:firstLine="560" w:firstLineChars="0"/>
        <w:rPr>
          <w:rFonts w:hint="eastAsia" w:ascii="仿宋" w:hAnsi="仿宋" w:eastAsia="仿宋" w:cs="仿宋"/>
          <w:szCs w:val="28"/>
          <w:shd w:val="clear" w:color="auto" w:fill="auto"/>
        </w:rPr>
      </w:pPr>
      <w:r>
        <w:rPr>
          <w:rFonts w:hint="eastAsia" w:ascii="仿宋" w:hAnsi="仿宋" w:eastAsia="仿宋" w:cs="仿宋"/>
          <w:szCs w:val="28"/>
          <w:shd w:val="clear" w:color="auto" w:fill="auto"/>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24B21A58">
      <w:pPr>
        <w:pStyle w:val="2"/>
        <w:rPr>
          <w:shd w:val="clear" w:color="auto" w:fill="auto"/>
        </w:rPr>
      </w:pPr>
      <w:r>
        <w:rPr>
          <w:rFonts w:hint="eastAsia"/>
          <w:shd w:val="clear" w:color="auto" w:fill="auto"/>
        </w:rPr>
        <w:t>七、其他</w:t>
      </w:r>
    </w:p>
    <w:p w14:paraId="5FA9712B">
      <w:pPr>
        <w:keepNext w:val="0"/>
        <w:keepLines w:val="0"/>
        <w:pageBreakBefore w:val="0"/>
        <w:widowControl/>
        <w:kinsoku/>
        <w:wordWrap/>
        <w:overflowPunct/>
        <w:topLinePunct w:val="0"/>
        <w:autoSpaceDE w:val="0"/>
        <w:autoSpaceDN w:val="0"/>
        <w:bidi w:val="0"/>
        <w:adjustRightInd/>
        <w:snapToGrid w:val="0"/>
        <w:spacing w:line="560" w:lineRule="exact"/>
        <w:ind w:left="0" w:firstLine="560" w:firstLineChars="200"/>
        <w:jc w:val="left"/>
        <w:textAlignment w:val="auto"/>
        <w:rPr>
          <w:rFonts w:ascii="仿宋" w:hAnsi="仿宋" w:eastAsia="仿宋"/>
          <w:szCs w:val="28"/>
        </w:rPr>
      </w:pPr>
      <w:r>
        <w:rPr>
          <w:rFonts w:hint="eastAsia" w:ascii="仿宋" w:hAnsi="仿宋" w:eastAsia="仿宋"/>
          <w:szCs w:val="28"/>
        </w:rPr>
        <w:t>1</w:t>
      </w:r>
      <w:r>
        <w:rPr>
          <w:rFonts w:ascii="仿宋" w:hAnsi="仿宋" w:eastAsia="仿宋"/>
          <w:szCs w:val="28"/>
        </w:rPr>
        <w:t>.</w:t>
      </w:r>
      <w:r>
        <w:rPr>
          <w:rFonts w:hint="eastAsia" w:ascii="仿宋" w:hAnsi="仿宋" w:eastAsia="仿宋"/>
          <w:szCs w:val="28"/>
        </w:rPr>
        <w:t>学院不接收定向博士生的申请</w:t>
      </w:r>
      <w:r>
        <w:rPr>
          <w:rFonts w:ascii="仿宋" w:hAnsi="仿宋" w:eastAsia="仿宋"/>
          <w:szCs w:val="28"/>
        </w:rPr>
        <w:t>。</w:t>
      </w:r>
    </w:p>
    <w:p w14:paraId="0267583D">
      <w:pPr>
        <w:keepNext w:val="0"/>
        <w:keepLines w:val="0"/>
        <w:pageBreakBefore w:val="0"/>
        <w:widowControl/>
        <w:kinsoku/>
        <w:wordWrap/>
        <w:overflowPunct/>
        <w:topLinePunct w:val="0"/>
        <w:autoSpaceDE w:val="0"/>
        <w:autoSpaceDN w:val="0"/>
        <w:bidi w:val="0"/>
        <w:adjustRightInd/>
        <w:snapToGrid w:val="0"/>
        <w:spacing w:line="560" w:lineRule="exact"/>
        <w:ind w:left="0" w:firstLine="560" w:firstLineChars="200"/>
        <w:jc w:val="left"/>
        <w:textAlignment w:val="auto"/>
        <w:rPr>
          <w:rFonts w:ascii="仿宋" w:hAnsi="仿宋" w:eastAsia="仿宋"/>
          <w:szCs w:val="28"/>
        </w:rPr>
      </w:pPr>
      <w:r>
        <w:rPr>
          <w:rFonts w:hint="eastAsia" w:ascii="仿宋" w:hAnsi="仿宋" w:eastAsia="仿宋"/>
          <w:szCs w:val="28"/>
        </w:rPr>
        <w:t>2</w:t>
      </w:r>
      <w:r>
        <w:rPr>
          <w:rFonts w:ascii="仿宋" w:hAnsi="仿宋" w:eastAsia="仿宋"/>
          <w:szCs w:val="28"/>
        </w:rPr>
        <w:t>.相关信息将在学院网（http://aais.njau.edu.cn/）</w:t>
      </w:r>
      <w:r>
        <w:rPr>
          <w:rFonts w:hint="eastAsia" w:ascii="仿宋" w:hAnsi="仿宋" w:eastAsia="仿宋"/>
          <w:szCs w:val="28"/>
        </w:rPr>
        <w:t>和研究生院网（</w:t>
      </w:r>
      <w:r>
        <w:rPr>
          <w:rFonts w:ascii="仿宋" w:hAnsi="仿宋" w:eastAsia="仿宋"/>
          <w:szCs w:val="28"/>
        </w:rPr>
        <w:t>http://grasch.njau.edu.cn/</w:t>
      </w:r>
      <w:r>
        <w:rPr>
          <w:rFonts w:hint="eastAsia" w:ascii="仿宋" w:hAnsi="仿宋" w:eastAsia="仿宋"/>
          <w:szCs w:val="28"/>
        </w:rPr>
        <w:t>）</w:t>
      </w:r>
      <w:r>
        <w:rPr>
          <w:rFonts w:ascii="仿宋" w:hAnsi="仿宋" w:eastAsia="仿宋"/>
          <w:szCs w:val="28"/>
        </w:rPr>
        <w:t>上公布。</w:t>
      </w:r>
    </w:p>
    <w:p w14:paraId="51B0D8ED">
      <w:pPr>
        <w:keepNext w:val="0"/>
        <w:keepLines w:val="0"/>
        <w:pageBreakBefore w:val="0"/>
        <w:widowControl/>
        <w:kinsoku/>
        <w:wordWrap/>
        <w:overflowPunct/>
        <w:topLinePunct w:val="0"/>
        <w:autoSpaceDE w:val="0"/>
        <w:autoSpaceDN w:val="0"/>
        <w:bidi w:val="0"/>
        <w:adjustRightInd/>
        <w:snapToGrid w:val="0"/>
        <w:spacing w:line="560" w:lineRule="exact"/>
        <w:ind w:left="0" w:firstLine="560" w:firstLineChars="200"/>
        <w:jc w:val="left"/>
        <w:textAlignment w:val="auto"/>
        <w:rPr>
          <w:rFonts w:ascii="仿宋" w:hAnsi="仿宋" w:eastAsia="仿宋"/>
          <w:szCs w:val="28"/>
        </w:rPr>
      </w:pPr>
      <w:r>
        <w:rPr>
          <w:rFonts w:hint="eastAsia" w:ascii="仿宋" w:hAnsi="仿宋" w:eastAsia="仿宋"/>
          <w:szCs w:val="28"/>
        </w:rPr>
        <w:t>3</w:t>
      </w:r>
      <w:r>
        <w:rPr>
          <w:rFonts w:ascii="仿宋" w:hAnsi="仿宋" w:eastAsia="仿宋"/>
          <w:szCs w:val="28"/>
        </w:rPr>
        <w:t>.</w:t>
      </w:r>
      <w:r>
        <w:rPr>
          <w:rFonts w:hint="eastAsia" w:ascii="仿宋" w:hAnsi="仿宋" w:eastAsia="仿宋"/>
          <w:szCs w:val="28"/>
        </w:rPr>
        <w:t xml:space="preserve">前沿交叉研究院招生咨询电话 </w:t>
      </w:r>
      <w:r>
        <w:rPr>
          <w:rFonts w:ascii="仿宋" w:hAnsi="仿宋" w:eastAsia="仿宋"/>
          <w:szCs w:val="28"/>
        </w:rPr>
        <w:t>025-84395036</w:t>
      </w:r>
      <w:r>
        <w:rPr>
          <w:rFonts w:hint="eastAsia" w:ascii="仿宋" w:hAnsi="仿宋" w:eastAsia="仿宋"/>
          <w:szCs w:val="28"/>
        </w:rPr>
        <w:t>。</w:t>
      </w:r>
    </w:p>
    <w:p w14:paraId="087EE1DB">
      <w:pPr>
        <w:keepNext w:val="0"/>
        <w:keepLines w:val="0"/>
        <w:pageBreakBefore w:val="0"/>
        <w:widowControl/>
        <w:kinsoku/>
        <w:wordWrap/>
        <w:overflowPunct/>
        <w:topLinePunct w:val="0"/>
        <w:autoSpaceDE w:val="0"/>
        <w:autoSpaceDN w:val="0"/>
        <w:bidi w:val="0"/>
        <w:adjustRightInd/>
        <w:snapToGrid w:val="0"/>
        <w:spacing w:line="560" w:lineRule="exact"/>
        <w:ind w:left="0" w:firstLine="560" w:firstLineChars="200"/>
        <w:jc w:val="left"/>
        <w:textAlignment w:val="auto"/>
        <w:rPr>
          <w:rFonts w:ascii="仿宋" w:hAnsi="仿宋" w:eastAsia="仿宋"/>
          <w:szCs w:val="28"/>
        </w:rPr>
      </w:pPr>
      <w:r>
        <w:rPr>
          <w:rFonts w:hint="eastAsia" w:ascii="仿宋" w:hAnsi="仿宋" w:eastAsia="仿宋"/>
          <w:szCs w:val="28"/>
        </w:rPr>
        <w:t>4</w:t>
      </w:r>
      <w:r>
        <w:rPr>
          <w:rFonts w:ascii="仿宋" w:hAnsi="仿宋" w:eastAsia="仿宋"/>
          <w:szCs w:val="28"/>
        </w:rPr>
        <w:t>.</w:t>
      </w:r>
      <w:r>
        <w:rPr>
          <w:rFonts w:hint="eastAsia" w:ascii="仿宋" w:hAnsi="仿宋" w:eastAsia="仿宋"/>
          <w:szCs w:val="28"/>
        </w:rPr>
        <w:t>其它</w:t>
      </w:r>
      <w:r>
        <w:rPr>
          <w:rFonts w:ascii="仿宋" w:hAnsi="仿宋" w:eastAsia="仿宋"/>
          <w:szCs w:val="28"/>
        </w:rPr>
        <w:t>未尽事宜参照</w:t>
      </w:r>
      <w:r>
        <w:rPr>
          <w:rFonts w:hint="eastAsia" w:ascii="仿宋" w:hAnsi="仿宋" w:eastAsia="仿宋"/>
          <w:szCs w:val="28"/>
        </w:rPr>
        <w:t>《南京农业大学2025年博士研究生招生章程》执行。</w:t>
      </w:r>
    </w:p>
    <w:p w14:paraId="06AB4C4E">
      <w:pPr>
        <w:widowControl/>
        <w:autoSpaceDE w:val="0"/>
        <w:autoSpaceDN w:val="0"/>
        <w:snapToGrid w:val="0"/>
        <w:spacing w:line="560" w:lineRule="exact"/>
        <w:ind w:left="560" w:firstLine="0" w:firstLineChars="0"/>
        <w:jc w:val="left"/>
        <w:rPr>
          <w:rFonts w:ascii="仿宋" w:hAnsi="仿宋" w:eastAsia="仿宋"/>
          <w:szCs w:val="28"/>
        </w:rPr>
      </w:pPr>
    </w:p>
    <w:p w14:paraId="749AF339">
      <w:pPr>
        <w:ind w:firstLine="0" w:firstLineChars="0"/>
        <w:jc w:val="right"/>
        <w:rPr>
          <w:rFonts w:ascii="仿宋" w:hAnsi="仿宋" w:eastAsia="仿宋" w:cs="仿宋"/>
          <w:szCs w:val="28"/>
          <w:shd w:val="clear" w:color="auto" w:fill="auto"/>
        </w:rPr>
      </w:pPr>
      <w:r>
        <w:rPr>
          <w:rFonts w:hint="eastAsia" w:ascii="仿宋" w:hAnsi="仿宋" w:eastAsia="仿宋" w:cs="仿宋"/>
          <w:szCs w:val="28"/>
          <w:shd w:val="clear" w:color="auto" w:fill="auto"/>
        </w:rPr>
        <w:t>南京农业大学前沿交叉研究院</w:t>
      </w:r>
    </w:p>
    <w:p w14:paraId="7771B5F5">
      <w:pPr>
        <w:ind w:firstLine="0" w:firstLineChars="0"/>
        <w:jc w:val="right"/>
        <w:rPr>
          <w:rFonts w:ascii="仿宋" w:hAnsi="仿宋" w:eastAsia="仿宋" w:cs="仿宋"/>
          <w:szCs w:val="28"/>
          <w:shd w:val="clear" w:color="auto" w:fill="auto"/>
        </w:rPr>
      </w:pPr>
      <w:r>
        <w:rPr>
          <w:rFonts w:hint="eastAsia" w:ascii="仿宋" w:hAnsi="仿宋" w:eastAsia="仿宋" w:cs="仿宋"/>
          <w:szCs w:val="28"/>
          <w:shd w:val="clear" w:color="auto" w:fill="auto"/>
        </w:rPr>
        <w:t xml:space="preserve">                        202</w:t>
      </w:r>
      <w:r>
        <w:rPr>
          <w:rFonts w:hint="eastAsia" w:ascii="仿宋" w:hAnsi="仿宋" w:eastAsia="仿宋" w:cs="仿宋"/>
          <w:szCs w:val="28"/>
          <w:shd w:val="clear" w:color="auto" w:fill="auto"/>
          <w:lang w:val="en-US" w:eastAsia="zh-CN"/>
        </w:rPr>
        <w:t>4</w:t>
      </w:r>
      <w:r>
        <w:rPr>
          <w:rFonts w:hint="eastAsia" w:ascii="仿宋" w:hAnsi="仿宋" w:eastAsia="仿宋" w:cs="仿宋"/>
          <w:szCs w:val="28"/>
          <w:shd w:val="clear" w:color="auto" w:fill="auto"/>
        </w:rPr>
        <w:t>年</w:t>
      </w:r>
      <w:r>
        <w:rPr>
          <w:rFonts w:ascii="仿宋" w:hAnsi="仿宋" w:eastAsia="仿宋" w:cs="仿宋"/>
          <w:szCs w:val="28"/>
          <w:shd w:val="clear" w:color="auto" w:fill="auto"/>
        </w:rPr>
        <w:t>1</w:t>
      </w:r>
      <w:r>
        <w:rPr>
          <w:rFonts w:hint="eastAsia" w:ascii="仿宋" w:hAnsi="仿宋" w:eastAsia="仿宋" w:cs="仿宋"/>
          <w:szCs w:val="28"/>
          <w:shd w:val="clear" w:color="auto" w:fill="auto"/>
          <w:lang w:val="en-US" w:eastAsia="zh-CN"/>
        </w:rPr>
        <w:t>2</w:t>
      </w:r>
      <w:r>
        <w:rPr>
          <w:rFonts w:hint="eastAsia" w:ascii="仿宋" w:hAnsi="仿宋" w:eastAsia="仿宋" w:cs="仿宋"/>
          <w:szCs w:val="28"/>
          <w:shd w:val="clear" w:color="auto" w:fill="auto"/>
        </w:rPr>
        <w:t>月</w:t>
      </w:r>
      <w:r>
        <w:rPr>
          <w:rFonts w:hint="eastAsia" w:ascii="仿宋" w:hAnsi="仿宋" w:eastAsia="仿宋" w:cs="仿宋"/>
          <w:szCs w:val="28"/>
          <w:shd w:val="clear" w:color="auto" w:fill="auto"/>
          <w:lang w:val="en-US" w:eastAsia="zh-CN"/>
        </w:rPr>
        <w:t>05</w:t>
      </w:r>
      <w:r>
        <w:rPr>
          <w:rFonts w:hint="eastAsia" w:ascii="仿宋" w:hAnsi="仿宋" w:eastAsia="仿宋" w:cs="仿宋"/>
          <w:szCs w:val="28"/>
          <w:shd w:val="clear" w:color="auto" w:fill="auto"/>
        </w:rPr>
        <w:t>日</w:t>
      </w:r>
    </w:p>
    <w:p w14:paraId="0D7F25B8">
      <w:pPr>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6DCE">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3556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86485" cy="355600"/>
                      </a:xfrm>
                      <a:prstGeom prst="rect">
                        <a:avLst/>
                      </a:prstGeom>
                      <a:noFill/>
                      <a:ln>
                        <a:noFill/>
                      </a:ln>
                    </wps:spPr>
                    <wps:txbx>
                      <w:txbxContent>
                        <w:p w14:paraId="605E79B4">
                          <w:pPr>
                            <w:pStyle w:val="3"/>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8pt;width:85.55pt;mso-position-horizontal:center;mso-position-horizontal-relative:margin;mso-wrap-style:none;z-index:251659264;mso-width-relative:page;mso-height-relative:page;" filled="f" stroked="f" coordsize="21600,21600" o:gfxdata="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F+/TRAAAABAEAAA8AAAAAAAAAAQAgAAAAIgAAAGRycy9kb3ducmV2LnhtbFBL&#10;AQIUABQAAAAIAIdO4kAUBlXM/QEAAAUEAAAOAAAAAAAAAAEAIAAAACABAABkcnMvZTJvRG9jLnht&#10;bFBLBQYAAAAABgAGAFkBAACPBQAAAAA=&#10;">
              <v:fill on="f" focussize="0,0"/>
              <v:stroke on="f"/>
              <v:imagedata o:title=""/>
              <o:lock v:ext="edit" aspectratio="f"/>
              <v:textbox inset="0mm,0mm,0mm,0mm" style="mso-fit-shape-to-text:t;">
                <w:txbxContent>
                  <w:p w14:paraId="605E79B4">
                    <w:pPr>
                      <w:pStyle w:val="3"/>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1B7D">
    <w:pPr>
      <w:pStyle w:val="3"/>
      <w:ind w:firstLine="360"/>
      <w:rPr>
        <w:rStyle w:val="8"/>
      </w:rPr>
    </w:pPr>
    <w:r>
      <w:rPr>
        <w:rStyle w:val="8"/>
      </w:rPr>
      <w:fldChar w:fldCharType="begin"/>
    </w:r>
    <w:r>
      <w:rPr>
        <w:rStyle w:val="8"/>
      </w:rPr>
      <w:instrText xml:space="preserve">PAGE  </w:instrText>
    </w:r>
    <w:r>
      <w:rPr>
        <w:rStyle w:val="8"/>
      </w:rPr>
      <w:fldChar w:fldCharType="end"/>
    </w:r>
  </w:p>
  <w:p w14:paraId="5899873D">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E084">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E88C">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352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68A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0C"/>
    <w:rsid w:val="000820AA"/>
    <w:rsid w:val="000A51C3"/>
    <w:rsid w:val="002907EA"/>
    <w:rsid w:val="003E1A27"/>
    <w:rsid w:val="003E2467"/>
    <w:rsid w:val="006C119B"/>
    <w:rsid w:val="00AB7B91"/>
    <w:rsid w:val="00C93F92"/>
    <w:rsid w:val="00D5070C"/>
    <w:rsid w:val="00F90CF0"/>
    <w:rsid w:val="035E4919"/>
    <w:rsid w:val="132C67E2"/>
    <w:rsid w:val="68CB2FF0"/>
    <w:rsid w:val="693A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8"/>
      <w:szCs w:val="32"/>
      <w:shd w:val="clear" w:color="auto" w:fill="FFFFFF"/>
      <w:lang w:val="en-US" w:eastAsia="zh-CN" w:bidi="ar-SA"/>
    </w:rPr>
  </w:style>
  <w:style w:type="paragraph" w:styleId="2">
    <w:name w:val="heading 2"/>
    <w:next w:val="1"/>
    <w:link w:val="11"/>
    <w:unhideWhenUsed/>
    <w:qFormat/>
    <w:uiPriority w:val="0"/>
    <w:pPr>
      <w:keepNext/>
      <w:keepLines/>
      <w:spacing w:before="120" w:after="120"/>
      <w:outlineLvl w:val="1"/>
    </w:pPr>
    <w:rPr>
      <w:rFonts w:eastAsia="黑体" w:asciiTheme="majorHAnsi" w:hAnsiTheme="majorHAnsi" w:cstheme="majorBidi"/>
      <w:b/>
      <w:bCs/>
      <w:kern w:val="2"/>
      <w:sz w:val="28"/>
      <w:szCs w:val="32"/>
      <w:shd w:val="clear" w:color="auto" w:fill="FFFFFF"/>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spacing w:line="240" w:lineRule="auto"/>
      <w:ind w:firstLine="0" w:firstLineChars="0"/>
      <w:jc w:val="left"/>
    </w:pPr>
    <w:rPr>
      <w:rFonts w:asciiTheme="minorHAnsi" w:hAnsiTheme="minorHAnsi" w:eastAsiaTheme="minorEastAsia"/>
      <w:sz w:val="18"/>
      <w:szCs w:val="18"/>
      <w:shd w:val="clear" w:color="auto" w:fill="auto"/>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shd w:val="clear" w:color="auto" w:fill="auto"/>
    </w:rPr>
  </w:style>
  <w:style w:type="paragraph" w:styleId="5">
    <w:name w:val="Title"/>
    <w:next w:val="1"/>
    <w:link w:val="12"/>
    <w:qFormat/>
    <w:uiPriority w:val="0"/>
    <w:pPr>
      <w:spacing w:after="120"/>
      <w:jc w:val="center"/>
      <w:outlineLvl w:val="0"/>
    </w:pPr>
    <w:rPr>
      <w:rFonts w:ascii="Times New Roman" w:hAnsi="Times New Roman" w:eastAsia="黑体" w:cstheme="majorBidi"/>
      <w:b/>
      <w:bCs/>
      <w:kern w:val="2"/>
      <w:sz w:val="36"/>
      <w:szCs w:val="32"/>
      <w:shd w:val="clear" w:color="auto" w:fill="FFFFFF"/>
      <w:lang w:val="en-US" w:eastAsia="zh-CN" w:bidi="ar-SA"/>
    </w:rPr>
  </w:style>
  <w:style w:type="character" w:styleId="8">
    <w:name w:val="page number"/>
    <w:basedOn w:val="7"/>
    <w:qFormat/>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uiPriority w:val="0"/>
    <w:rPr>
      <w:sz w:val="18"/>
      <w:szCs w:val="18"/>
    </w:rPr>
  </w:style>
  <w:style w:type="character" w:customStyle="1" w:styleId="11">
    <w:name w:val="标题 2 字符"/>
    <w:basedOn w:val="7"/>
    <w:link w:val="2"/>
    <w:qFormat/>
    <w:uiPriority w:val="0"/>
    <w:rPr>
      <w:rFonts w:eastAsia="黑体" w:asciiTheme="majorHAnsi" w:hAnsiTheme="majorHAnsi" w:cstheme="majorBidi"/>
      <w:b/>
      <w:bCs/>
      <w:sz w:val="28"/>
      <w:szCs w:val="32"/>
    </w:rPr>
  </w:style>
  <w:style w:type="character" w:customStyle="1" w:styleId="12">
    <w:name w:val="标题 字符"/>
    <w:basedOn w:val="7"/>
    <w:link w:val="5"/>
    <w:qFormat/>
    <w:uiPriority w:val="0"/>
    <w:rPr>
      <w:rFonts w:ascii="Times New Roman" w:hAnsi="Times New Roman" w:eastAsia="黑体" w:cstheme="majorBidi"/>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3265</Words>
  <Characters>3508</Characters>
  <Lines>25</Lines>
  <Paragraphs>7</Paragraphs>
  <TotalTime>5</TotalTime>
  <ScaleCrop>false</ScaleCrop>
  <LinksUpToDate>false</LinksUpToDate>
  <CharactersWithSpaces>3535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2024-12-05T02:20:00Z</dcterms:created>
  <dc:creator>WangHuanHuan2024@outlook.com</dc:creator>
  <cp:lastModifiedBy>1380074960</cp:lastModifiedBy>
  <cp:lastPrinted>2024-12-05T03:57:00Z</cp:lastPrinted>
  <dcterms:modified xsi:type="dcterms:W3CDTF">2024-12-09T06:58:04Z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2E57FAD4AFD54B6DAF5E7D92DC22C23A_13</vt:lpwstr>
  </property>
</Properties>
</file>